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hAnsi="宋体" w:eastAsia="仿宋_GB2312"/>
          <w:sz w:val="32"/>
          <w:szCs w:val="32"/>
        </w:rPr>
      </w:pPr>
      <w:r>
        <w:rPr>
          <w:rFonts w:hint="eastAsia" w:ascii="仿宋_GB2312" w:hAnsi="宋体" w:eastAsia="仿宋_GB2312"/>
          <w:sz w:val="32"/>
          <w:szCs w:val="32"/>
        </w:rPr>
        <w:t>附件1：</w:t>
      </w:r>
    </w:p>
    <w:p>
      <w:pPr>
        <w:spacing w:after="156" w:afterLines="50" w:line="360" w:lineRule="auto"/>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公路工程实体质量抽查指标表</w:t>
      </w:r>
    </w:p>
    <w:tbl>
      <w:tblPr>
        <w:tblStyle w:val="4"/>
        <w:tblW w:w="15320" w:type="dxa"/>
        <w:jc w:val="center"/>
        <w:tblLayout w:type="autofit"/>
        <w:tblCellMar>
          <w:top w:w="0" w:type="dxa"/>
          <w:left w:w="108" w:type="dxa"/>
          <w:bottom w:w="0" w:type="dxa"/>
          <w:right w:w="108" w:type="dxa"/>
        </w:tblCellMar>
      </w:tblPr>
      <w:tblGrid>
        <w:gridCol w:w="1520"/>
        <w:gridCol w:w="1120"/>
        <w:gridCol w:w="2180"/>
        <w:gridCol w:w="5140"/>
        <w:gridCol w:w="5360"/>
      </w:tblGrid>
      <w:tr>
        <w:tblPrEx>
          <w:tblCellMar>
            <w:top w:w="0" w:type="dxa"/>
            <w:left w:w="108" w:type="dxa"/>
            <w:bottom w:w="0" w:type="dxa"/>
            <w:right w:w="108" w:type="dxa"/>
          </w:tblCellMar>
        </w:tblPrEx>
        <w:trPr>
          <w:trHeight w:val="567" w:hRule="atLeast"/>
          <w:tblHeader/>
          <w:jc w:val="center"/>
        </w:trPr>
        <w:tc>
          <w:tcPr>
            <w:tcW w:w="26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抽查内容</w:t>
            </w:r>
          </w:p>
        </w:tc>
        <w:tc>
          <w:tcPr>
            <w:tcW w:w="21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抽检指标</w:t>
            </w:r>
          </w:p>
        </w:tc>
        <w:tc>
          <w:tcPr>
            <w:tcW w:w="514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检测方法和频率</w:t>
            </w:r>
          </w:p>
        </w:tc>
        <w:tc>
          <w:tcPr>
            <w:tcW w:w="53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评价方法和标准</w:t>
            </w:r>
          </w:p>
        </w:tc>
      </w:tr>
      <w:tr>
        <w:tblPrEx>
          <w:tblCellMar>
            <w:top w:w="0" w:type="dxa"/>
            <w:left w:w="108" w:type="dxa"/>
            <w:bottom w:w="0" w:type="dxa"/>
            <w:right w:w="108" w:type="dxa"/>
          </w:tblCellMar>
        </w:tblPrEx>
        <w:trPr>
          <w:trHeight w:val="567" w:hRule="atLeast"/>
          <w:jc w:val="center"/>
        </w:trPr>
        <w:tc>
          <w:tcPr>
            <w:tcW w:w="15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路基工程</w:t>
            </w:r>
          </w:p>
        </w:tc>
        <w:tc>
          <w:tcPr>
            <w:tcW w:w="11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路基填筑</w:t>
            </w: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压实度▲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采用灌砂法，每个标段随机选取2个薄弱测点。</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按检评标准规定值计算合格率。抽检样本量大于等于10组的指标以项目为单位计算代表值，代表值合格的为合格，代表值不合格的对单点偏差大的工程部位进行返工处理</w:t>
            </w:r>
          </w:p>
        </w:tc>
      </w:tr>
      <w:tr>
        <w:tblPrEx>
          <w:tblCellMar>
            <w:top w:w="0" w:type="dxa"/>
            <w:left w:w="108" w:type="dxa"/>
            <w:bottom w:w="0" w:type="dxa"/>
            <w:right w:w="108" w:type="dxa"/>
          </w:tblCellMar>
        </w:tblPrEx>
        <w:trPr>
          <w:trHeight w:val="567" w:hRule="atLeast"/>
          <w:jc w:val="center"/>
        </w:trPr>
        <w:tc>
          <w:tcPr>
            <w:tcW w:w="15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11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路基宽度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每标段测5处，计算合格率</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jc w:val="center"/>
        </w:trPr>
        <w:tc>
          <w:tcPr>
            <w:tcW w:w="15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11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分层厚度、填料粒径</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每标段开仓3处，计算合格率。</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jc w:val="center"/>
        </w:trPr>
        <w:tc>
          <w:tcPr>
            <w:tcW w:w="15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11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砌体工程</w:t>
            </w: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砌体尺寸</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每标段检查3处，按单点值不小于设计值为合格，计算合格率</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jc w:val="center"/>
        </w:trPr>
        <w:tc>
          <w:tcPr>
            <w:tcW w:w="15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11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泄水孔位置、数量</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每标段检查3处，按规范要求设置为合格，计算合格率</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jc w:val="center"/>
        </w:trPr>
        <w:tc>
          <w:tcPr>
            <w:tcW w:w="15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11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沉降缝宽度、填料</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每标段检查3处，按规范要求设置为合格，计算合格率</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67" w:hRule="atLeast"/>
          <w:jc w:val="center"/>
        </w:trPr>
        <w:tc>
          <w:tcPr>
            <w:tcW w:w="1520" w:type="dxa"/>
            <w:vMerge w:val="restart"/>
            <w:tcBorders>
              <w:top w:val="nil"/>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路面工程</w:t>
            </w:r>
          </w:p>
        </w:tc>
        <w:tc>
          <w:tcPr>
            <w:tcW w:w="112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沥青面层</w:t>
            </w: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沥青层压实度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采用表干密度法检测，每个标段随机取芯3个。</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按单点值大于等于最大理论密度的92%（SMA为94%）或试验室标准密度的96%（SMA为98%）为合格，计算合格率。</w:t>
            </w:r>
          </w:p>
        </w:tc>
      </w:tr>
      <w:tr>
        <w:tblPrEx>
          <w:tblCellMar>
            <w:top w:w="0" w:type="dxa"/>
            <w:left w:w="108" w:type="dxa"/>
            <w:bottom w:w="0" w:type="dxa"/>
            <w:right w:w="108" w:type="dxa"/>
          </w:tblCellMar>
        </w:tblPrEx>
        <w:trPr>
          <w:trHeight w:val="1575" w:hRule="atLeast"/>
          <w:jc w:val="center"/>
        </w:trPr>
        <w:tc>
          <w:tcPr>
            <w:tcW w:w="1520"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color w:val="000000"/>
                <w:kern w:val="0"/>
                <w:szCs w:val="21"/>
              </w:rPr>
            </w:pPr>
          </w:p>
        </w:tc>
        <w:tc>
          <w:tcPr>
            <w:tcW w:w="1120"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厚度▲</w:t>
            </w:r>
          </w:p>
        </w:tc>
        <w:tc>
          <w:tcPr>
            <w:tcW w:w="514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每个标段随机取芯3个（用于中、下面层）；或每标段采用雷达随机抽查500米，每20米一个测点。</w:t>
            </w:r>
          </w:p>
        </w:tc>
        <w:tc>
          <w:tcPr>
            <w:tcW w:w="536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单点总厚度大（等）于设计值的95%，上面层厚度大（等）于设计值的90%时为合格，计算合格率。抽检样本量大于等于10组的指标以项目为单位计算代表值，代表值合格的为合格，代表值不合格的对单点偏差大的工程部位进行返工处理</w:t>
            </w:r>
          </w:p>
        </w:tc>
      </w:tr>
      <w:tr>
        <w:tblPrEx>
          <w:tblCellMar>
            <w:top w:w="0" w:type="dxa"/>
            <w:left w:w="108" w:type="dxa"/>
            <w:bottom w:w="0" w:type="dxa"/>
            <w:right w:w="108" w:type="dxa"/>
          </w:tblCellMar>
        </w:tblPrEx>
        <w:trPr>
          <w:jc w:val="center"/>
        </w:trPr>
        <w:tc>
          <w:tcPr>
            <w:tcW w:w="1520" w:type="dxa"/>
            <w:tcBorders>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color w:val="000000"/>
                <w:kern w:val="0"/>
                <w:szCs w:val="21"/>
              </w:rPr>
            </w:pPr>
          </w:p>
        </w:tc>
        <w:tc>
          <w:tcPr>
            <w:tcW w:w="112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kern w:val="0"/>
                <w:szCs w:val="21"/>
              </w:rPr>
            </w:pPr>
          </w:p>
        </w:tc>
        <w:tc>
          <w:tcPr>
            <w:tcW w:w="5140"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仿宋_GB2312" w:hAnsi="宋体" w:eastAsia="仿宋_GB2312" w:cs="宋体"/>
                <w:color w:val="000000"/>
                <w:kern w:val="0"/>
                <w:szCs w:val="21"/>
              </w:rPr>
            </w:pPr>
          </w:p>
        </w:tc>
        <w:tc>
          <w:tcPr>
            <w:tcW w:w="5360"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67" w:hRule="atLeast"/>
          <w:jc w:val="center"/>
        </w:trPr>
        <w:tc>
          <w:tcPr>
            <w:tcW w:w="1520"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路面工程</w:t>
            </w:r>
          </w:p>
        </w:tc>
        <w:tc>
          <w:tcPr>
            <w:tcW w:w="1120" w:type="dxa"/>
            <w:vMerge w:val="restart"/>
            <w:tcBorders>
              <w:top w:val="nil"/>
              <w:left w:val="nil"/>
              <w:right w:val="single" w:color="auto" w:sz="4" w:space="0"/>
            </w:tcBorders>
            <w:shd w:val="clear" w:color="auto" w:fill="auto"/>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水稳基层</w:t>
            </w:r>
          </w:p>
          <w:p>
            <w:pP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及底基层</w:t>
            </w: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厚度▲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采用取芯方法，每个标段随机取芯3个。</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按单点厚度大（等）于设计值-15mm为合格，计算合格率。</w:t>
            </w:r>
          </w:p>
        </w:tc>
      </w:tr>
      <w:tr>
        <w:tblPrEx>
          <w:tblCellMar>
            <w:top w:w="0" w:type="dxa"/>
            <w:left w:w="108" w:type="dxa"/>
            <w:bottom w:w="0" w:type="dxa"/>
            <w:right w:w="108" w:type="dxa"/>
          </w:tblCellMar>
        </w:tblPrEx>
        <w:trPr>
          <w:trHeight w:val="603" w:hRule="atLeast"/>
          <w:jc w:val="center"/>
        </w:trPr>
        <w:tc>
          <w:tcPr>
            <w:tcW w:w="1520"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1120" w:type="dxa"/>
            <w:vMerge w:val="continue"/>
            <w:tcBorders>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整体性▲</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采用取芯方法，每个标段随机取芯4个。</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芯样完整为合格，计算合格率。</w:t>
            </w:r>
          </w:p>
        </w:tc>
      </w:tr>
      <w:tr>
        <w:tblPrEx>
          <w:tblCellMar>
            <w:top w:w="0" w:type="dxa"/>
            <w:left w:w="108" w:type="dxa"/>
            <w:bottom w:w="0" w:type="dxa"/>
            <w:right w:w="108" w:type="dxa"/>
          </w:tblCellMar>
        </w:tblPrEx>
        <w:trPr>
          <w:trHeight w:val="711" w:hRule="atLeast"/>
          <w:jc w:val="center"/>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桥梁工程</w:t>
            </w:r>
          </w:p>
        </w:tc>
        <w:tc>
          <w:tcPr>
            <w:tcW w:w="11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混凝土</w:t>
            </w:r>
          </w:p>
        </w:tc>
        <w:tc>
          <w:tcPr>
            <w:tcW w:w="21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混凝土强度▲</w:t>
            </w:r>
          </w:p>
        </w:tc>
        <w:tc>
          <w:tcPr>
            <w:tcW w:w="514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采用回弹法，每个标段抽查墩柱及梁板等主要构件3个，每个构件3个测区。</w:t>
            </w:r>
          </w:p>
        </w:tc>
        <w:tc>
          <w:tcPr>
            <w:tcW w:w="536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强度推定值大于设计强度为合格，计算合格率。也可利用标养试件统计评价。</w:t>
            </w:r>
          </w:p>
        </w:tc>
      </w:tr>
      <w:tr>
        <w:tblPrEx>
          <w:tblCellMar>
            <w:top w:w="0" w:type="dxa"/>
            <w:left w:w="108" w:type="dxa"/>
            <w:bottom w:w="0" w:type="dxa"/>
            <w:right w:w="108" w:type="dxa"/>
          </w:tblCellMar>
        </w:tblPrEx>
        <w:trPr>
          <w:trHeight w:val="567" w:hRule="atLeast"/>
          <w:jc w:val="center"/>
        </w:trPr>
        <w:tc>
          <w:tcPr>
            <w:tcW w:w="15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11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上、下部结构</w:t>
            </w: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钢筋保护层厚度▲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采用电磁方法检测，每标段抽查墩柱、现浇和预制梁板等构件各2个，每构件布置1×2m测区并检测</w:t>
            </w:r>
            <w:r>
              <w:rPr>
                <w:rFonts w:hint="eastAsia" w:ascii="仿宋_GB2312" w:hAnsi="宋体" w:eastAsia="仿宋_GB2312" w:cs="宋体"/>
                <w:color w:val="FF0000"/>
                <w:kern w:val="0"/>
                <w:szCs w:val="21"/>
              </w:rPr>
              <w:t>20</w:t>
            </w:r>
            <w:r>
              <w:rPr>
                <w:rFonts w:hint="eastAsia" w:ascii="仿宋_GB2312" w:hAnsi="宋体" w:eastAsia="仿宋_GB2312" w:cs="宋体"/>
                <w:color w:val="000000"/>
                <w:kern w:val="0"/>
                <w:szCs w:val="21"/>
              </w:rPr>
              <w:t>点。</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按统计方法评定，特征值与设计值比值介于0.9～1.3的为合格，计算合格率。</w:t>
            </w:r>
          </w:p>
        </w:tc>
      </w:tr>
      <w:tr>
        <w:tblPrEx>
          <w:tblCellMar>
            <w:top w:w="0" w:type="dxa"/>
            <w:left w:w="108" w:type="dxa"/>
            <w:bottom w:w="0" w:type="dxa"/>
            <w:right w:w="108" w:type="dxa"/>
          </w:tblCellMar>
        </w:tblPrEx>
        <w:trPr>
          <w:trHeight w:val="567" w:hRule="atLeast"/>
          <w:jc w:val="center"/>
        </w:trPr>
        <w:tc>
          <w:tcPr>
            <w:tcW w:w="15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11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构件几何尺寸▲</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用钢尺和激光测距仪检测，每标段抽查墩柱和梁板各2个构件，其中：墩柱沿高度每间隔1米测两个正交直径，测3组数据，圆柱墩可测周长换算为直径，以及桥墩竖直度。梁、板按图纸测量顶、底板轴线梁长，两端轴线梁高，梁宽根据梁长按等分点至少测3个断面。</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按检评标准的允许偏差计算合格率。</w:t>
            </w:r>
          </w:p>
        </w:tc>
      </w:tr>
      <w:tr>
        <w:tblPrEx>
          <w:tblCellMar>
            <w:top w:w="0" w:type="dxa"/>
            <w:left w:w="108" w:type="dxa"/>
            <w:bottom w:w="0" w:type="dxa"/>
            <w:right w:w="108" w:type="dxa"/>
          </w:tblCellMar>
        </w:tblPrEx>
        <w:trPr>
          <w:trHeight w:val="864" w:hRule="atLeast"/>
          <w:jc w:val="center"/>
        </w:trPr>
        <w:tc>
          <w:tcPr>
            <w:tcW w:w="264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交通安全设施</w:t>
            </w:r>
          </w:p>
        </w:tc>
        <w:tc>
          <w:tcPr>
            <w:tcW w:w="2180" w:type="dxa"/>
            <w:tcBorders>
              <w:top w:val="nil"/>
              <w:left w:val="nil"/>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构件基底厚度▲</w:t>
            </w:r>
          </w:p>
        </w:tc>
        <w:tc>
          <w:tcPr>
            <w:tcW w:w="514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采用板厚千分尺、超声波测厚仪和磁性测厚仪，每个标段抽取3段100m，每段测试20点。</w:t>
            </w:r>
          </w:p>
        </w:tc>
        <w:tc>
          <w:tcPr>
            <w:tcW w:w="536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4(0,+0.22)mm，3(0,+0.18)mm，4.5(-0.25,+0.5)mm，计算合格率。</w:t>
            </w:r>
          </w:p>
        </w:tc>
      </w:tr>
      <w:tr>
        <w:tblPrEx>
          <w:tblCellMar>
            <w:top w:w="0" w:type="dxa"/>
            <w:left w:w="108" w:type="dxa"/>
            <w:bottom w:w="0" w:type="dxa"/>
            <w:right w:w="108" w:type="dxa"/>
          </w:tblCellMar>
        </w:tblPrEx>
        <w:trPr>
          <w:trHeight w:val="567" w:hRule="atLeast"/>
          <w:jc w:val="center"/>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构件金属镀层厚度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采用磁性测厚仪，每个标段抽取3段100m，每段测试20点。</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≥85μm，计算合格率。</w:t>
            </w:r>
          </w:p>
        </w:tc>
      </w:tr>
      <w:tr>
        <w:tblPrEx>
          <w:tblCellMar>
            <w:top w:w="0" w:type="dxa"/>
            <w:left w:w="108" w:type="dxa"/>
            <w:bottom w:w="0" w:type="dxa"/>
            <w:right w:w="108" w:type="dxa"/>
          </w:tblCellMar>
        </w:tblPrEx>
        <w:trPr>
          <w:trHeight w:val="567" w:hRule="atLeast"/>
          <w:jc w:val="center"/>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护栏横梁中心高度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采用水平尺和钢卷尺，每标段随机抽测50点。</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±20mm，计算合格率。</w:t>
            </w:r>
          </w:p>
        </w:tc>
      </w:tr>
      <w:tr>
        <w:tblPrEx>
          <w:tblCellMar>
            <w:top w:w="0" w:type="dxa"/>
            <w:left w:w="108" w:type="dxa"/>
            <w:bottom w:w="0" w:type="dxa"/>
            <w:right w:w="108" w:type="dxa"/>
          </w:tblCellMar>
        </w:tblPrEx>
        <w:trPr>
          <w:trHeight w:val="567" w:hRule="atLeast"/>
          <w:jc w:val="center"/>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护栏立柱埋入深度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采用直尺，每个标段抽取5根施工完的立柱实测。</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符合设计规定为合格，计算合格率。</w:t>
            </w:r>
          </w:p>
        </w:tc>
      </w:tr>
      <w:tr>
        <w:tblPrEx>
          <w:tblCellMar>
            <w:top w:w="0" w:type="dxa"/>
            <w:left w:w="108" w:type="dxa"/>
            <w:bottom w:w="0" w:type="dxa"/>
            <w:right w:w="108" w:type="dxa"/>
          </w:tblCellMar>
        </w:tblPrEx>
        <w:trPr>
          <w:trHeight w:val="567" w:hRule="atLeast"/>
          <w:jc w:val="center"/>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Cs w:val="21"/>
              </w:rPr>
            </w:pPr>
          </w:p>
        </w:tc>
        <w:tc>
          <w:tcPr>
            <w:tcW w:w="218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拼接螺栓抗拉强度▲</w:t>
            </w:r>
          </w:p>
        </w:tc>
        <w:tc>
          <w:tcPr>
            <w:tcW w:w="514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抽样做拉力试验，每个标段抽取5套，其中1套备用。</w:t>
            </w:r>
          </w:p>
        </w:tc>
        <w:tc>
          <w:tcPr>
            <w:tcW w:w="536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2套以上不合格判定为抽检不合格。</w:t>
            </w:r>
          </w:p>
        </w:tc>
      </w:tr>
    </w:tbl>
    <w:p>
      <w:pP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注： 1.实体质量督查评分以各项评分的平均值计，表中所列项带“▲”的均为必查项；</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     2.督查可根据工程情况随机指定抽检原材料种类及实测指标项；</w:t>
      </w:r>
    </w:p>
    <w:p>
      <w:pPr>
        <w:spacing w:line="640" w:lineRule="exact"/>
        <w:rPr>
          <w:rFonts w:hint="eastAsia" w:ascii="仿宋_GB2312" w:hAnsi="宋体" w:eastAsia="仿宋_GB2312"/>
          <w:sz w:val="32"/>
          <w:szCs w:val="32"/>
        </w:rPr>
      </w:pPr>
    </w:p>
    <w:p>
      <w:pPr>
        <w:spacing w:line="640" w:lineRule="exact"/>
        <w:rPr>
          <w:rFonts w:hint="eastAsia" w:ascii="仿宋_GB2312" w:hAnsi="宋体" w:eastAsia="仿宋_GB2312"/>
          <w:sz w:val="32"/>
          <w:szCs w:val="32"/>
        </w:rPr>
      </w:pPr>
    </w:p>
    <w:p>
      <w:pPr>
        <w:spacing w:line="640" w:lineRule="exact"/>
        <w:rPr>
          <w:rFonts w:hint="eastAsia" w:ascii="仿宋_GB2312" w:hAnsi="宋体" w:eastAsia="仿宋_GB2312"/>
          <w:sz w:val="32"/>
          <w:szCs w:val="32"/>
        </w:rPr>
      </w:pPr>
    </w:p>
    <w:p>
      <w:pPr>
        <w:spacing w:line="640" w:lineRule="exact"/>
        <w:rPr>
          <w:rFonts w:hint="eastAsia" w:ascii="仿宋_GB2312" w:hAnsi="宋体" w:eastAsia="仿宋_GB2312"/>
          <w:sz w:val="32"/>
          <w:szCs w:val="32"/>
        </w:rPr>
      </w:pPr>
    </w:p>
    <w:p>
      <w:pPr>
        <w:spacing w:line="640" w:lineRule="exact"/>
        <w:rPr>
          <w:rFonts w:hint="eastAsia" w:ascii="仿宋_GB2312" w:hAnsi="宋体" w:eastAsia="仿宋_GB2312"/>
          <w:sz w:val="32"/>
          <w:szCs w:val="32"/>
        </w:rPr>
      </w:pPr>
    </w:p>
    <w:p>
      <w:pPr>
        <w:spacing w:line="640" w:lineRule="exact"/>
        <w:rPr>
          <w:rFonts w:hint="eastAsia" w:ascii="仿宋_GB2312" w:hAnsi="宋体" w:eastAsia="仿宋_GB2312"/>
          <w:sz w:val="32"/>
          <w:szCs w:val="32"/>
        </w:rPr>
      </w:pPr>
    </w:p>
    <w:p>
      <w:pPr>
        <w:spacing w:line="640" w:lineRule="exact"/>
        <w:rPr>
          <w:rFonts w:hint="eastAsia" w:ascii="仿宋_GB2312" w:hAnsi="宋体" w:eastAsia="仿宋_GB2312"/>
          <w:sz w:val="32"/>
          <w:szCs w:val="32"/>
        </w:rPr>
      </w:pPr>
    </w:p>
    <w:p>
      <w:pPr>
        <w:spacing w:line="640" w:lineRule="exact"/>
        <w:rPr>
          <w:rFonts w:hint="eastAsia" w:ascii="仿宋_GB2312" w:hAnsi="宋体" w:eastAsia="仿宋_GB2312"/>
          <w:sz w:val="32"/>
          <w:szCs w:val="32"/>
        </w:rPr>
      </w:pPr>
      <w:r>
        <w:rPr>
          <w:rFonts w:hint="eastAsia" w:ascii="仿宋_GB2312" w:hAnsi="宋体" w:eastAsia="仿宋_GB2312"/>
          <w:sz w:val="32"/>
          <w:szCs w:val="32"/>
        </w:rPr>
        <w:t>附件2：</w:t>
      </w:r>
    </w:p>
    <w:p>
      <w:pPr>
        <w:spacing w:line="640" w:lineRule="exact"/>
        <w:jc w:val="center"/>
        <w:rPr>
          <w:rFonts w:hint="eastAsia" w:ascii="方正小标宋简体" w:hAnsi="宋体-18030" w:eastAsia="方正小标宋简体" w:cs="宋体-18030"/>
          <w:sz w:val="36"/>
          <w:szCs w:val="36"/>
        </w:rPr>
      </w:pPr>
      <w:r>
        <w:rPr>
          <w:rFonts w:hint="eastAsia" w:ascii="方正小标宋简体" w:hAnsi="宋体-18030" w:eastAsia="方正小标宋简体" w:cs="宋体-18030"/>
          <w:sz w:val="36"/>
          <w:szCs w:val="36"/>
        </w:rPr>
        <w:t>质量管理行为督查内容</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9"/>
        <w:gridCol w:w="4386"/>
        <w:gridCol w:w="4828"/>
        <w:gridCol w:w="2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1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pacing w:val="-12"/>
                <w:szCs w:val="21"/>
              </w:rPr>
            </w:pPr>
            <w:r>
              <w:rPr>
                <w:rFonts w:hint="eastAsia" w:ascii="仿宋_GB2312" w:hAnsi="宋体" w:eastAsia="仿宋_GB2312"/>
                <w:spacing w:val="-12"/>
                <w:szCs w:val="21"/>
              </w:rPr>
              <w:t>受检单位</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pacing w:val="-12"/>
                <w:szCs w:val="21"/>
              </w:rPr>
            </w:pPr>
            <w:r>
              <w:rPr>
                <w:rFonts w:hint="eastAsia" w:ascii="仿宋_GB2312" w:hAnsi="宋体" w:eastAsia="仿宋_GB2312"/>
                <w:spacing w:val="-12"/>
                <w:szCs w:val="21"/>
              </w:rPr>
              <w:t>督查指标项</w:t>
            </w:r>
          </w:p>
        </w:tc>
        <w:tc>
          <w:tcPr>
            <w:tcW w:w="4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pacing w:val="-12"/>
                <w:szCs w:val="21"/>
              </w:rPr>
            </w:pPr>
            <w:r>
              <w:rPr>
                <w:rFonts w:hint="eastAsia" w:ascii="仿宋_GB2312" w:hAnsi="宋体" w:eastAsia="仿宋_GB2312"/>
                <w:spacing w:val="-12"/>
                <w:szCs w:val="21"/>
              </w:rPr>
              <w:t>标准或要求</w:t>
            </w:r>
          </w:p>
        </w:tc>
        <w:tc>
          <w:tcPr>
            <w:tcW w:w="2860" w:type="dxa"/>
            <w:tcBorders>
              <w:top w:val="single" w:color="auto" w:sz="4" w:space="0"/>
              <w:left w:val="single" w:color="auto" w:sz="4" w:space="0"/>
              <w:bottom w:val="single" w:color="auto" w:sz="4" w:space="0"/>
              <w:right w:val="single" w:color="auto" w:sz="4" w:space="0"/>
            </w:tcBorders>
            <w:noWrap w:val="0"/>
            <w:vAlign w:val="top"/>
          </w:tcPr>
          <w:p>
            <w:pPr>
              <w:spacing w:before="156" w:beforeLines="50"/>
              <w:jc w:val="center"/>
              <w:rPr>
                <w:rFonts w:hint="eastAsia" w:ascii="仿宋_GB2312" w:hAnsi="宋体" w:eastAsia="仿宋_GB2312"/>
                <w:spacing w:val="-12"/>
                <w:szCs w:val="21"/>
              </w:rPr>
            </w:pPr>
            <w:r>
              <w:rPr>
                <w:rFonts w:hint="eastAsia" w:ascii="仿宋_GB2312" w:hAnsi="宋体" w:eastAsia="仿宋_GB2312"/>
                <w:spacing w:val="-12"/>
                <w:szCs w:val="21"/>
              </w:rPr>
              <w:t>现场检查情况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 w:hRule="atLeast"/>
          <w:jc w:val="center"/>
        </w:trPr>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spacing w:val="-12"/>
                <w:szCs w:val="21"/>
              </w:rPr>
            </w:pPr>
            <w:r>
              <w:rPr>
                <w:rFonts w:hint="eastAsia" w:ascii="仿宋_GB2312" w:hAnsi="宋体" w:eastAsia="仿宋_GB2312"/>
                <w:spacing w:val="-12"/>
                <w:szCs w:val="21"/>
              </w:rPr>
              <w:t>建设单位</w:t>
            </w: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质量管理目标、制度和措施</w:t>
            </w:r>
          </w:p>
        </w:tc>
        <w:tc>
          <w:tcPr>
            <w:tcW w:w="48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目标明确具体，制度和措施健全，有针对性和可操作性，且落实到位。</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合同管理（人员调整、进度变化和质量问题处理）</w:t>
            </w:r>
          </w:p>
        </w:tc>
        <w:tc>
          <w:tcPr>
            <w:tcW w:w="48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仿宋_GB2312" w:hAnsi="宋体" w:eastAsia="仿宋_GB2312"/>
                <w:spacing w:val="-12"/>
                <w:szCs w:val="21"/>
              </w:rPr>
            </w:pPr>
            <w:r>
              <w:rPr>
                <w:rFonts w:hint="eastAsia" w:ascii="仿宋_GB2312" w:hAnsi="宋体" w:eastAsia="仿宋_GB2312"/>
                <w:spacing w:val="-12"/>
                <w:szCs w:val="21"/>
              </w:rPr>
              <w:t>规范、手续齐全</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pacing w:val="-12"/>
                <w:szCs w:val="21"/>
              </w:rPr>
            </w:pPr>
            <w:r>
              <w:rPr>
                <w:rFonts w:hint="eastAsia" w:ascii="仿宋_GB2312" w:hAnsi="宋体" w:eastAsia="仿宋_GB2312"/>
                <w:spacing w:val="-12"/>
                <w:szCs w:val="21"/>
              </w:rPr>
              <w:t>施工单位</w:t>
            </w:r>
          </w:p>
        </w:tc>
        <w:tc>
          <w:tcPr>
            <w:tcW w:w="4386"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spacing w:val="-12"/>
                <w:szCs w:val="21"/>
              </w:rPr>
            </w:pPr>
            <w:r>
              <w:rPr>
                <w:rFonts w:hint="eastAsia" w:ascii="仿宋_GB2312" w:hAnsi="宋体" w:eastAsia="仿宋_GB2312"/>
                <w:spacing w:val="-12"/>
                <w:szCs w:val="21"/>
              </w:rPr>
              <w:t>项目经理、总工</w:t>
            </w:r>
          </w:p>
        </w:tc>
        <w:tc>
          <w:tcPr>
            <w:tcW w:w="482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仿宋_GB2312" w:hAnsi="宋体" w:eastAsia="仿宋_GB2312"/>
                <w:spacing w:val="-12"/>
                <w:szCs w:val="21"/>
              </w:rPr>
            </w:pPr>
            <w:r>
              <w:rPr>
                <w:rFonts w:hint="eastAsia" w:ascii="仿宋_GB2312" w:hAnsi="宋体" w:eastAsia="仿宋_GB2312"/>
                <w:spacing w:val="-12"/>
                <w:szCs w:val="21"/>
              </w:rPr>
              <w:t>均符合合同或招标文件要求</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5"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spacing w:val="-12"/>
                <w:szCs w:val="21"/>
              </w:rPr>
            </w:pPr>
            <w:r>
              <w:rPr>
                <w:rFonts w:hint="eastAsia" w:ascii="仿宋_GB2312" w:hAnsi="宋体" w:eastAsia="仿宋_GB2312"/>
                <w:spacing w:val="-12"/>
                <w:szCs w:val="21"/>
              </w:rPr>
              <w:t>施工组织设计报批</w:t>
            </w:r>
          </w:p>
        </w:tc>
        <w:tc>
          <w:tcPr>
            <w:tcW w:w="482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仿宋_GB2312" w:hAnsi="宋体" w:eastAsia="仿宋_GB2312"/>
                <w:spacing w:val="-12"/>
                <w:szCs w:val="21"/>
              </w:rPr>
            </w:pPr>
            <w:r>
              <w:rPr>
                <w:rFonts w:hint="eastAsia" w:ascii="仿宋_GB2312" w:hAnsi="宋体" w:eastAsia="仿宋_GB2312"/>
                <w:spacing w:val="-12"/>
                <w:szCs w:val="21"/>
              </w:rPr>
              <w:t>及时</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质量管理措施</w:t>
            </w:r>
          </w:p>
        </w:tc>
        <w:tc>
          <w:tcPr>
            <w:tcW w:w="482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仿宋_GB2312" w:hAnsi="宋体" w:eastAsia="仿宋_GB2312"/>
                <w:spacing w:val="-12"/>
                <w:szCs w:val="21"/>
              </w:rPr>
            </w:pPr>
            <w:r>
              <w:rPr>
                <w:rFonts w:hint="eastAsia" w:ascii="仿宋_GB2312" w:hAnsi="宋体" w:eastAsia="仿宋_GB2312"/>
                <w:spacing w:val="-12"/>
                <w:szCs w:val="21"/>
              </w:rPr>
              <w:t>完善，有针对性和可操作性，且落实到位。</w:t>
            </w:r>
            <w:r>
              <w:rPr>
                <w:rFonts w:ascii="仿宋_GB2312" w:hAnsi="宋体" w:eastAsia="仿宋_GB2312"/>
                <w:spacing w:val="-12"/>
                <w:szCs w:val="21"/>
              </w:rPr>
              <w:t xml:space="preserve"> </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施工技术交底</w:t>
            </w:r>
          </w:p>
        </w:tc>
        <w:tc>
          <w:tcPr>
            <w:tcW w:w="48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仿宋_GB2312" w:hAnsi="宋体" w:eastAsia="仿宋_GB2312"/>
                <w:spacing w:val="-12"/>
                <w:szCs w:val="21"/>
              </w:rPr>
            </w:pPr>
            <w:r>
              <w:rPr>
                <w:rFonts w:hint="eastAsia" w:ascii="仿宋_GB2312" w:hAnsi="宋体" w:eastAsia="仿宋_GB2312"/>
                <w:spacing w:val="-12"/>
                <w:szCs w:val="21"/>
              </w:rPr>
              <w:t>及时、全面</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标准试验</w:t>
            </w:r>
          </w:p>
        </w:tc>
        <w:tc>
          <w:tcPr>
            <w:tcW w:w="48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仿宋_GB2312" w:hAnsi="宋体" w:eastAsia="仿宋_GB2312"/>
                <w:spacing w:val="-12"/>
                <w:szCs w:val="21"/>
              </w:rPr>
            </w:pPr>
            <w:r>
              <w:rPr>
                <w:rFonts w:hint="eastAsia" w:ascii="仿宋_GB2312" w:hAnsi="宋体" w:eastAsia="仿宋_GB2312"/>
                <w:spacing w:val="-12"/>
                <w:szCs w:val="21"/>
              </w:rPr>
              <w:t>规范</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监督、监理指令的质整改落实</w:t>
            </w:r>
          </w:p>
        </w:tc>
        <w:tc>
          <w:tcPr>
            <w:tcW w:w="48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仿宋_GB2312" w:hAnsi="宋体" w:eastAsia="仿宋_GB2312"/>
                <w:spacing w:val="-12"/>
                <w:szCs w:val="21"/>
              </w:rPr>
            </w:pPr>
            <w:r>
              <w:rPr>
                <w:rFonts w:hint="eastAsia" w:ascii="仿宋_GB2312" w:hAnsi="宋体" w:eastAsia="仿宋_GB2312"/>
                <w:spacing w:val="-12"/>
                <w:szCs w:val="21"/>
              </w:rPr>
              <w:t>按要求及时落实</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试验室人员、设备配备与管理</w:t>
            </w:r>
          </w:p>
        </w:tc>
        <w:tc>
          <w:tcPr>
            <w:tcW w:w="48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仿宋_GB2312" w:hAnsi="宋体" w:eastAsia="仿宋_GB2312"/>
                <w:spacing w:val="-12"/>
                <w:szCs w:val="21"/>
              </w:rPr>
            </w:pPr>
            <w:r>
              <w:rPr>
                <w:rFonts w:hint="eastAsia" w:ascii="仿宋_GB2312" w:hAnsi="宋体" w:eastAsia="仿宋_GB2312"/>
                <w:spacing w:val="-12"/>
                <w:szCs w:val="21"/>
              </w:rPr>
              <w:t>符合法规规定和工程需要，仪器标定规范</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pacing w:val="-12"/>
                <w:szCs w:val="21"/>
              </w:rPr>
            </w:pPr>
            <w:r>
              <w:rPr>
                <w:rFonts w:hint="eastAsia" w:ascii="仿宋_GB2312" w:hAnsi="宋体" w:eastAsia="仿宋_GB2312"/>
                <w:spacing w:val="-12"/>
                <w:szCs w:val="21"/>
              </w:rPr>
              <w:t>监理单位</w:t>
            </w:r>
          </w:p>
        </w:tc>
        <w:tc>
          <w:tcPr>
            <w:tcW w:w="4386"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spacing w:val="-12"/>
                <w:szCs w:val="21"/>
              </w:rPr>
            </w:pPr>
            <w:r>
              <w:rPr>
                <w:rFonts w:hint="eastAsia" w:ascii="仿宋_GB2312" w:hAnsi="宋体" w:eastAsia="仿宋_GB2312"/>
                <w:spacing w:val="-12"/>
                <w:szCs w:val="21"/>
              </w:rPr>
              <w:t>监理工程师资格、到位及岗位登记</w:t>
            </w:r>
          </w:p>
        </w:tc>
        <w:tc>
          <w:tcPr>
            <w:tcW w:w="482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仿宋_GB2312" w:hAnsi="宋体" w:eastAsia="仿宋_GB2312"/>
                <w:spacing w:val="-12"/>
                <w:szCs w:val="21"/>
              </w:rPr>
            </w:pPr>
            <w:r>
              <w:rPr>
                <w:rFonts w:hint="eastAsia" w:ascii="仿宋_GB2312" w:hAnsi="宋体" w:eastAsia="仿宋_GB2312"/>
                <w:spacing w:val="-12"/>
                <w:szCs w:val="21"/>
              </w:rPr>
              <w:t>符合合同要求</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试验室人员、设备配备与管理</w:t>
            </w:r>
          </w:p>
        </w:tc>
        <w:tc>
          <w:tcPr>
            <w:tcW w:w="48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仿宋_GB2312" w:hAnsi="宋体" w:eastAsia="仿宋_GB2312"/>
                <w:spacing w:val="-12"/>
                <w:szCs w:val="21"/>
              </w:rPr>
            </w:pPr>
            <w:r>
              <w:rPr>
                <w:rFonts w:hint="eastAsia" w:ascii="仿宋_GB2312" w:hAnsi="宋体" w:eastAsia="仿宋_GB2312"/>
                <w:spacing w:val="-12"/>
                <w:szCs w:val="21"/>
              </w:rPr>
              <w:t>符合法定和工程需要，仪器标定规范</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spacing w:val="-12"/>
                <w:szCs w:val="21"/>
              </w:rPr>
            </w:pPr>
            <w:r>
              <w:rPr>
                <w:rFonts w:hint="eastAsia" w:ascii="仿宋_GB2312" w:hAnsi="宋体" w:eastAsia="仿宋_GB2312"/>
                <w:spacing w:val="-12"/>
                <w:szCs w:val="21"/>
              </w:rPr>
              <w:t>标准试验、配合比设计验证审批</w:t>
            </w:r>
          </w:p>
        </w:tc>
        <w:tc>
          <w:tcPr>
            <w:tcW w:w="482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仿宋_GB2312" w:hAnsi="宋体" w:eastAsia="仿宋_GB2312"/>
                <w:spacing w:val="-12"/>
                <w:szCs w:val="21"/>
              </w:rPr>
            </w:pPr>
            <w:r>
              <w:rPr>
                <w:rFonts w:hint="eastAsia" w:ascii="仿宋_GB2312" w:hAnsi="宋体" w:eastAsia="仿宋_GB2312"/>
                <w:spacing w:val="-12"/>
                <w:szCs w:val="21"/>
              </w:rPr>
              <w:t>及时规范、资料齐全</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pacing w:val="-12"/>
                <w:szCs w:val="21"/>
              </w:rPr>
            </w:pPr>
            <w:r>
              <w:rPr>
                <w:rFonts w:hint="eastAsia" w:ascii="仿宋_GB2312" w:hAnsi="宋体" w:eastAsia="仿宋_GB2312"/>
                <w:spacing w:val="-12"/>
                <w:szCs w:val="21"/>
              </w:rPr>
              <w:t>抽检</w:t>
            </w:r>
          </w:p>
        </w:tc>
        <w:tc>
          <w:tcPr>
            <w:tcW w:w="482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仿宋_GB2312" w:hAnsi="宋体" w:eastAsia="仿宋_GB2312"/>
                <w:spacing w:val="-12"/>
                <w:szCs w:val="21"/>
              </w:rPr>
            </w:pPr>
            <w:r>
              <w:rPr>
                <w:rFonts w:hint="eastAsia" w:ascii="仿宋_GB2312" w:hAnsi="宋体" w:eastAsia="仿宋_GB2312"/>
                <w:spacing w:val="-12"/>
                <w:szCs w:val="21"/>
              </w:rPr>
              <w:t>及时规范、资料齐全</w:t>
            </w:r>
            <w:r>
              <w:rPr>
                <w:rFonts w:ascii="仿宋_GB2312" w:hAnsi="宋体" w:eastAsia="仿宋_GB2312"/>
                <w:spacing w:val="-12"/>
                <w:szCs w:val="21"/>
              </w:rPr>
              <w:t>,有计划,并明确频率</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8"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spacing w:val="-12"/>
                <w:szCs w:val="21"/>
              </w:rPr>
            </w:pPr>
            <w:r>
              <w:rPr>
                <w:rFonts w:hint="eastAsia" w:ascii="仿宋_GB2312" w:hAnsi="宋体" w:eastAsia="仿宋_GB2312"/>
                <w:spacing w:val="-12"/>
                <w:szCs w:val="21"/>
              </w:rPr>
              <w:t>旁站、巡视</w:t>
            </w:r>
          </w:p>
        </w:tc>
        <w:tc>
          <w:tcPr>
            <w:tcW w:w="482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仿宋_GB2312" w:hAnsi="宋体" w:eastAsia="仿宋_GB2312"/>
                <w:spacing w:val="-12"/>
                <w:szCs w:val="21"/>
              </w:rPr>
            </w:pPr>
            <w:r>
              <w:rPr>
                <w:rFonts w:hint="eastAsia" w:ascii="仿宋_GB2312" w:hAnsi="宋体" w:eastAsia="仿宋_GB2312"/>
                <w:spacing w:val="-12"/>
                <w:szCs w:val="21"/>
              </w:rPr>
              <w:t>到位、记录齐全准确</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pacing w:val="-12"/>
                <w:szCs w:val="21"/>
              </w:rPr>
            </w:pPr>
          </w:p>
        </w:tc>
        <w:tc>
          <w:tcPr>
            <w:tcW w:w="4386"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spacing w:val="-12"/>
                <w:szCs w:val="21"/>
              </w:rPr>
            </w:pPr>
            <w:r>
              <w:rPr>
                <w:rFonts w:hint="eastAsia" w:ascii="仿宋_GB2312" w:hAnsi="宋体" w:eastAsia="仿宋_GB2312"/>
                <w:spacing w:val="-12"/>
                <w:szCs w:val="21"/>
              </w:rPr>
              <w:t>质量监理指令</w:t>
            </w:r>
          </w:p>
        </w:tc>
        <w:tc>
          <w:tcPr>
            <w:tcW w:w="482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ascii="仿宋_GB2312" w:hAnsi="宋体" w:eastAsia="仿宋_GB2312"/>
                <w:spacing w:val="-12"/>
                <w:szCs w:val="21"/>
              </w:rPr>
            </w:pPr>
            <w:r>
              <w:rPr>
                <w:rFonts w:hint="eastAsia" w:ascii="仿宋_GB2312" w:hAnsi="宋体" w:eastAsia="仿宋_GB2312"/>
                <w:spacing w:val="-12"/>
                <w:szCs w:val="21"/>
              </w:rPr>
              <w:t>指令闭合</w:t>
            </w:r>
          </w:p>
        </w:tc>
        <w:tc>
          <w:tcPr>
            <w:tcW w:w="286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spacing w:val="-12"/>
                <w:szCs w:val="21"/>
              </w:rPr>
            </w:pPr>
          </w:p>
        </w:tc>
      </w:tr>
    </w:tbl>
    <w:p>
      <w:pPr>
        <w:spacing w:line="640" w:lineRule="exact"/>
        <w:rPr>
          <w:rFonts w:hint="eastAsia" w:ascii="仿宋_GB2312" w:hAnsi="宋体" w:eastAsia="仿宋_GB2312"/>
          <w:sz w:val="32"/>
          <w:szCs w:val="32"/>
        </w:rPr>
      </w:pPr>
      <w:r>
        <w:rPr>
          <w:rFonts w:ascii="仿宋_GB2312" w:hAnsi="宋体-18030" w:eastAsia="仿宋_GB2312" w:cs="宋体-18030"/>
          <w:b/>
          <w:szCs w:val="21"/>
        </w:rPr>
        <w:br w:type="page"/>
      </w:r>
      <w:r>
        <w:rPr>
          <w:rFonts w:hint="eastAsia" w:ascii="仿宋_GB2312" w:hAnsi="宋体-18030" w:eastAsia="仿宋_GB2312" w:cs="宋体-18030"/>
          <w:sz w:val="32"/>
          <w:szCs w:val="32"/>
        </w:rPr>
        <w:t>附件3：</w:t>
      </w:r>
    </w:p>
    <w:p>
      <w:pPr>
        <w:spacing w:line="560" w:lineRule="exact"/>
        <w:ind w:firstLine="645"/>
        <w:jc w:val="center"/>
        <w:rPr>
          <w:rFonts w:hint="eastAsia" w:ascii="黑体" w:hAnsi="黑体" w:eastAsia="黑体"/>
          <w:sz w:val="32"/>
          <w:szCs w:val="32"/>
        </w:rPr>
      </w:pPr>
      <w:r>
        <w:rPr>
          <w:rFonts w:hint="eastAsia" w:ascii="黑体" w:hAnsi="黑体" w:eastAsia="黑体"/>
          <w:sz w:val="32"/>
          <w:szCs w:val="32"/>
        </w:rPr>
        <w:t>督查项目</w:t>
      </w:r>
    </w:p>
    <w:p>
      <w:pPr>
        <w:spacing w:line="560" w:lineRule="exact"/>
        <w:ind w:firstLine="645"/>
        <w:rPr>
          <w:rFonts w:hint="eastAsia" w:ascii="仿宋_GB2312" w:eastAsia="仿宋_GB2312"/>
          <w:sz w:val="32"/>
          <w:szCs w:val="32"/>
        </w:rPr>
      </w:pPr>
    </w:p>
    <w:p>
      <w:pPr>
        <w:spacing w:line="560" w:lineRule="exact"/>
        <w:ind w:firstLine="645"/>
        <w:rPr>
          <w:rFonts w:hint="eastAsia" w:ascii="仿宋_GB2312" w:eastAsia="仿宋_GB2312"/>
          <w:sz w:val="32"/>
          <w:szCs w:val="32"/>
        </w:rPr>
      </w:pPr>
    </w:p>
    <w:p>
      <w:pPr>
        <w:spacing w:line="560" w:lineRule="exact"/>
        <w:ind w:firstLine="645"/>
        <w:rPr>
          <w:rFonts w:hint="eastAsia" w:ascii="仿宋_GB2312" w:eastAsia="仿宋_GB2312"/>
          <w:sz w:val="32"/>
          <w:szCs w:val="32"/>
        </w:rPr>
      </w:pPr>
      <w:r>
        <w:rPr>
          <w:rFonts w:hint="eastAsia" w:ascii="仿宋_GB2312" w:eastAsia="仿宋_GB2312"/>
          <w:sz w:val="32"/>
          <w:szCs w:val="32"/>
        </w:rPr>
        <w:t>（一）新邵县塘口至白水洞旅游专线公路；</w:t>
      </w:r>
    </w:p>
    <w:p>
      <w:pPr>
        <w:spacing w:line="560" w:lineRule="exact"/>
        <w:ind w:firstLine="645"/>
        <w:rPr>
          <w:rFonts w:hint="eastAsia" w:ascii="仿宋_GB2312" w:eastAsia="仿宋_GB2312"/>
          <w:sz w:val="32"/>
          <w:szCs w:val="32"/>
        </w:rPr>
      </w:pPr>
      <w:r>
        <w:rPr>
          <w:rFonts w:hint="eastAsia" w:ascii="仿宋_GB2312" w:eastAsia="仿宋_GB2312"/>
          <w:sz w:val="32"/>
          <w:szCs w:val="32"/>
        </w:rPr>
        <w:t>（二）S334新邵县张家冲至罗桥公路；</w:t>
      </w:r>
    </w:p>
    <w:p>
      <w:pPr>
        <w:spacing w:line="560" w:lineRule="exact"/>
        <w:ind w:firstLine="645"/>
        <w:rPr>
          <w:rFonts w:hint="eastAsia" w:ascii="仿宋_GB2312" w:eastAsia="仿宋_GB2312"/>
          <w:sz w:val="32"/>
          <w:szCs w:val="32"/>
        </w:rPr>
      </w:pPr>
      <w:r>
        <w:rPr>
          <w:rFonts w:hint="eastAsia" w:ascii="仿宋_GB2312" w:eastAsia="仿宋_GB2312"/>
          <w:sz w:val="32"/>
          <w:szCs w:val="32"/>
        </w:rPr>
        <w:t>（三）S232新邵县雀塘至太子庙公路；</w:t>
      </w:r>
    </w:p>
    <w:p>
      <w:pPr>
        <w:spacing w:line="560" w:lineRule="exact"/>
        <w:ind w:firstLine="645"/>
        <w:rPr>
          <w:rFonts w:hint="eastAsia" w:ascii="仿宋_GB2312" w:eastAsia="仿宋_GB2312"/>
          <w:sz w:val="32"/>
          <w:szCs w:val="32"/>
        </w:rPr>
      </w:pPr>
      <w:r>
        <w:rPr>
          <w:rFonts w:hint="eastAsia" w:ascii="仿宋_GB2312" w:eastAsia="仿宋_GB2312"/>
          <w:sz w:val="32"/>
          <w:szCs w:val="32"/>
        </w:rPr>
        <w:t>（四）隆回丁山经西洋江至洞口县城公路工程隆回段；</w:t>
      </w:r>
    </w:p>
    <w:p>
      <w:pPr>
        <w:spacing w:line="560" w:lineRule="exact"/>
        <w:ind w:firstLine="645"/>
        <w:rPr>
          <w:rFonts w:hint="eastAsia" w:ascii="仿宋_GB2312" w:eastAsia="仿宋_GB2312"/>
          <w:sz w:val="32"/>
          <w:szCs w:val="32"/>
        </w:rPr>
      </w:pPr>
      <w:r>
        <w:rPr>
          <w:rFonts w:hint="eastAsia" w:ascii="仿宋_GB2312" w:eastAsia="仿宋_GB2312"/>
          <w:sz w:val="32"/>
          <w:szCs w:val="32"/>
        </w:rPr>
        <w:t>（五）隆回丁山经西洋江至洞口县城公路工程洞口段；</w:t>
      </w:r>
    </w:p>
    <w:p>
      <w:pPr>
        <w:spacing w:line="560" w:lineRule="exact"/>
        <w:ind w:firstLine="645"/>
        <w:rPr>
          <w:rFonts w:hint="eastAsia" w:ascii="仿宋_GB2312" w:eastAsia="仿宋_GB2312"/>
          <w:sz w:val="32"/>
          <w:szCs w:val="32"/>
        </w:rPr>
      </w:pPr>
      <w:r>
        <w:rPr>
          <w:rFonts w:hint="eastAsia" w:ascii="仿宋_GB2312" w:eastAsia="仿宋_GB2312"/>
          <w:sz w:val="32"/>
          <w:szCs w:val="32"/>
        </w:rPr>
        <w:t>（六）省道S258、348线城步南山牧场至绥宁古龙岩公路改建工程；</w:t>
      </w:r>
    </w:p>
    <w:p>
      <w:pPr>
        <w:spacing w:line="560" w:lineRule="exact"/>
        <w:ind w:firstLine="645"/>
        <w:rPr>
          <w:rFonts w:hint="eastAsia" w:ascii="仿宋_GB2312" w:eastAsia="仿宋_GB2312"/>
          <w:sz w:val="32"/>
          <w:szCs w:val="32"/>
        </w:rPr>
      </w:pPr>
      <w:r>
        <w:rPr>
          <w:rFonts w:hint="eastAsia" w:ascii="仿宋_GB2312" w:eastAsia="仿宋_GB2312"/>
          <w:sz w:val="32"/>
          <w:szCs w:val="32"/>
        </w:rPr>
        <w:t>（七）S245武冈邓家铺至新宁狮子寨公路；</w:t>
      </w:r>
    </w:p>
    <w:p>
      <w:pPr>
        <w:spacing w:line="560" w:lineRule="exact"/>
        <w:ind w:firstLine="645"/>
        <w:rPr>
          <w:rFonts w:hint="eastAsia" w:ascii="仿宋_GB2312" w:eastAsia="仿宋_GB2312"/>
          <w:sz w:val="32"/>
          <w:szCs w:val="32"/>
        </w:rPr>
      </w:pPr>
      <w:r>
        <w:rPr>
          <w:rFonts w:hint="eastAsia" w:ascii="仿宋_GB2312" w:eastAsia="仿宋_GB2312"/>
          <w:sz w:val="32"/>
          <w:szCs w:val="32"/>
        </w:rPr>
        <w:t>（八）S223线邵东县仙槎桥至邵阳县峡山铺公路邵阳县段。</w:t>
      </w:r>
    </w:p>
    <w:p/>
    <w:p/>
    <w:p/>
    <w:p/>
    <w:p>
      <w:pPr>
        <w:keepNext w:val="0"/>
        <w:keepLines w:val="0"/>
        <w:widowControl/>
        <w:suppressLineNumbers w:val="0"/>
        <w:spacing w:before="0" w:beforeAutospacing="1" w:after="0" w:afterAutospacing="1"/>
        <w:ind w:right="0"/>
        <w:jc w:val="both"/>
        <w:rPr>
          <w:rFonts w:hint="default" w:eastAsiaTheme="minorEastAsia"/>
          <w:lang w:val="en-US" w:eastAsia="zh-CN"/>
        </w:rPr>
      </w:pPr>
      <w:r>
        <w:rPr>
          <w:rFonts w:hint="eastAsia"/>
          <w:lang w:val="en-US" w:eastAsia="zh-CN"/>
        </w:rPr>
        <w:t>附件：4</w:t>
      </w:r>
    </w:p>
    <w:p>
      <w:pPr>
        <w:keepNext w:val="0"/>
        <w:keepLines w:val="0"/>
        <w:widowControl/>
        <w:suppressLineNumbers w:val="0"/>
        <w:spacing w:before="0" w:beforeAutospacing="1" w:after="0" w:afterAutospacing="1"/>
        <w:ind w:left="0" w:right="0"/>
        <w:jc w:val="center"/>
        <w:rPr>
          <w:sz w:val="48"/>
          <w:szCs w:val="48"/>
        </w:rPr>
      </w:pPr>
      <w:r>
        <w:rPr>
          <w:rFonts w:asciiTheme="minorHAnsi" w:hAnsiTheme="minorHAnsi" w:eastAsiaTheme="minorEastAsia" w:cstheme="minorBidi"/>
          <w:b/>
          <w:kern w:val="0"/>
          <w:sz w:val="48"/>
          <w:szCs w:val="48"/>
          <w:lang w:val="en-US" w:eastAsia="zh-CN" w:bidi="ar"/>
        </w:rPr>
        <w:t>报 价 函</w:t>
      </w:r>
      <w:r>
        <w:rPr>
          <w:rFonts w:asciiTheme="minorHAnsi" w:hAnsiTheme="minorHAnsi" w:eastAsiaTheme="minorEastAsia" w:cstheme="minorBidi"/>
          <w:kern w:val="0"/>
          <w:sz w:val="48"/>
          <w:szCs w:val="48"/>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ind w:firstLine="640" w:firstLineChars="200"/>
        <w:jc w:val="lef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 xml:space="preserve">邵阳市交通运输局： </w:t>
      </w:r>
    </w:p>
    <w:p>
      <w:pPr>
        <w:ind w:firstLine="640" w:firstLineChars="200"/>
        <w:jc w:val="lef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 xml:space="preserve">经研究邵阳市国省干线公路委托检测单位开展质量安全监督检查主要内容后，我方对该项目进行了分析计算，愿以人民币（大写）   元（￥   元），承担本项目咨询审查工作，并承诺严格按照国家和省相关法律法规、规范规程和技术标准等要求，独立公正、客观科学地开展工作。   </w:t>
      </w:r>
    </w:p>
    <w:p>
      <w:pPr>
        <w:ind w:firstLine="640" w:firstLineChars="200"/>
        <w:jc w:val="lef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 xml:space="preserve">  </w:t>
      </w:r>
      <w:bookmarkStart w:id="0" w:name="_GoBack"/>
      <w:bookmarkEnd w:id="0"/>
    </w:p>
    <w:p>
      <w:pPr>
        <w:ind w:firstLine="640" w:firstLineChars="200"/>
        <w:jc w:val="right"/>
        <w:rPr>
          <w:rFonts w:hint="eastAsia" w:ascii="仿宋_GB2312" w:eastAsia="仿宋_GB2312" w:hAnsiTheme="majorEastAsia"/>
          <w:sz w:val="32"/>
          <w:szCs w:val="32"/>
          <w:lang w:val="en-US" w:eastAsia="zh-CN"/>
        </w:rPr>
      </w:pPr>
    </w:p>
    <w:p>
      <w:pPr>
        <w:ind w:firstLine="9280" w:firstLineChars="2900"/>
        <w:jc w:val="both"/>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报价人（盖章）：</w:t>
      </w:r>
    </w:p>
    <w:p>
      <w:pPr>
        <w:ind w:firstLine="640" w:firstLineChars="200"/>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 xml:space="preserve">                                                法定代表人或其委托代理人：     </w:t>
      </w:r>
    </w:p>
    <w:p>
      <w:pPr>
        <w:ind w:firstLine="640" w:firstLineChars="200"/>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 xml:space="preserve">                                              年     月      日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宋体-18030">
    <w:altName w:val="新宋体"/>
    <w:panose1 w:val="00000000000000000000"/>
    <w:charset w:val="86"/>
    <w:family w:val="modern"/>
    <w:pitch w:val="default"/>
    <w:sig w:usb0="00000000" w:usb1="00000000" w:usb2="0000005E"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E66E5"/>
    <w:rsid w:val="43DB502E"/>
    <w:rsid w:val="6D8E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2019-12-17T09:18:00Z</dcterms:created>
  <dc:creator>deane</dc:creator>
  <cp:lastModifiedBy>deane</cp:lastModifiedBy>
  <dcterms:modified xsi:type="dcterms:W3CDTF">2019-12-17T09:26:45Z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